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9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color w:val="007d9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7d90"/>
          <w:sz w:val="28"/>
          <w:szCs w:val="28"/>
          <w:rtl w:val="0"/>
        </w:rPr>
        <w:t xml:space="preserve">Sorgulama Aracı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Sorgulama Avrupa’da öğretmen eğitimi programlarınında yaygın olarak kullanılmaktadır.  Sorgulama sınıflarda farklı şekillerde gerçekleştirilebilir. Sorgulama aracında kullanılan basamaklar ise şunlardır: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1- Problemin belirlenmesi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2- Olgunun belirlenmesi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 Olgunun araştırılması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 Olgunun açıklanması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5- Yeni bir sorgulama sürecinin başlatılması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Bu süreçte kullanılabilecek bazı örnek sorular Tablo 1’de sunulmuştur.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Tablo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Sorgulama Sürecini Desteklemek için Sorular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654"/>
        <w:gridCol w:w="6406"/>
        <w:tblGridChange w:id="0">
          <w:tblGrid>
            <w:gridCol w:w="2654"/>
            <w:gridCol w:w="640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007d90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How to Identify, Explore and Explain the Phenomena?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Olgunun belirlenmesi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İncelediğiniz büyük fikir ne?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Süreçte hangi olguları inceleyeceksiniz?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Bağımlı değişken(ler)iniz neler?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Bağımsız değişken(ler)iniz neler?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Olgunun araştırılması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 tür veriler toplandınız?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 veriyi neden topladınız?</w:t>
            </w:r>
          </w:p>
          <w:p w:rsidR="00000000" w:rsidDel="00000000" w:rsidP="00000000" w:rsidRDefault="00000000" w:rsidRPr="00000000" w14:paraId="00000016">
            <w:pPr>
              <w:spacing w:after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 toplamaya ne zaman başladınız?</w:t>
            </w:r>
          </w:p>
          <w:p w:rsidR="00000000" w:rsidDel="00000000" w:rsidP="00000000" w:rsidRDefault="00000000" w:rsidRPr="00000000" w14:paraId="00000017">
            <w:pPr>
              <w:spacing w:after="240" w:lineRule="auto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 toplamayı ne zaman tamamladınız?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Olgunun açıklanması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bulgularınız neler?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Arkadaşlarınızın bulguları neler?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Arkadaşlarınızın bulguları ile benzerlikler/farklılıklar neler?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Sizin ve arkadaşlarınız verilerini kullanara bir mode/açıklama oluşturun.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76978" cy="5400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  <w:lang w:eastAsia="en-US" w:val="en-US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cs="Arial Unicode MS" w:hAnsi="Calibri"/>
      <w:color w:val="000000"/>
      <w:sz w:val="22"/>
      <w:szCs w:val="22"/>
      <w:u w:color="000000"/>
      <w:lang w:val="en-US"/>
    </w:rPr>
  </w:style>
  <w:style w:type="character" w:styleId="Link" w:customStyle="1">
    <w:name w:val="Link"/>
    <w:rPr>
      <w:outline w:val="0"/>
      <w:color w:val="0563c1"/>
      <w:u w:color="0563c1" w:val="single"/>
    </w:rPr>
  </w:style>
  <w:style w:type="character" w:styleId="Hyperlink0" w:customStyle="1">
    <w:name w:val="Hyperlink.0"/>
    <w:basedOn w:val="Link"/>
    <w:rPr>
      <w:rFonts w:ascii="Times New Roman" w:cs="Times New Roman" w:eastAsia="Times New Roman" w:hAnsi="Times New Roman"/>
      <w:outline w:val="0"/>
      <w:color w:val="0563c1"/>
      <w:sz w:val="24"/>
      <w:szCs w:val="24"/>
      <w:u w:color="0563c1" w:val="single"/>
    </w:rPr>
  </w:style>
  <w:style w:type="paragraph" w:styleId="FlietextDECoSTE" w:customStyle="1">
    <w:name w:val="Fließtext_DECoSTE"/>
    <w:basedOn w:val="Standard"/>
    <w:uiPriority w:val="1"/>
    <w:qFormat w:val="1"/>
    <w:rsid w:val="13D270E2"/>
    <w:pPr>
      <w:spacing w:after="240"/>
      <w:jc w:val="both"/>
    </w:pPr>
    <w:rPr>
      <w:rFonts w:ascii="Linotype Syntax Com Regular" w:cs="Linotype Syntax Com Regular" w:hAnsi="Linotype Syntax Com Regular" w:eastAsiaTheme="minorEastAsia"/>
      <w:color w:val="000000" w:themeColor="text1"/>
    </w:rPr>
  </w:style>
  <w:style w:type="table" w:styleId="Tabellenraster">
    <w:name w:val="Table Grid"/>
    <w:basedOn w:val="NormaleTabelle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Kopfzeile">
    <w:name w:val="header"/>
    <w:basedOn w:val="Standard"/>
    <w:link w:val="KopfzeileZchn"/>
    <w:uiPriority w:val="99"/>
    <w:unhideWhenUsed w:val="1"/>
    <w:rsid w:val="00483298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483298"/>
    <w:rPr>
      <w:sz w:val="24"/>
      <w:szCs w:val="24"/>
      <w:lang w:eastAsia="en-US" w:val="en-US"/>
    </w:rPr>
  </w:style>
  <w:style w:type="paragraph" w:styleId="Fuzeile">
    <w:name w:val="footer"/>
    <w:basedOn w:val="Standard"/>
    <w:link w:val="FuzeileZchn"/>
    <w:uiPriority w:val="99"/>
    <w:unhideWhenUsed w:val="1"/>
    <w:rsid w:val="00483298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483298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KbaMuf3rD+ussEo8C+tgNfxJA==">CgMxLjA4AHIhMTdmdExDdTN4T0M3TU9KZExoSXZtUzF1WmNEcno4bU5p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2023-07-24T19:15:00Z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